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after="0"/>
        <w:ind w:left="0"/>
        <w:rPr>
          <w:b/>
          <w:color w:val="0070C0"/>
          <w:sz w:val="52"/>
          <w:szCs w:val="52"/>
        </w:rPr>
      </w:pPr>
      <w:r>
        <w:rPr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-83820</wp:posOffset>
                </wp:positionV>
                <wp:extent cx="8650224" cy="6199632"/>
                <wp:effectExtent l="38100" t="38100" r="36830" b="298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0224" cy="61996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.4pt;margin-top:-6.6pt;width:681.1pt;height:488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" fillcolor="white [3201]" strokecolor="#0070c0" strokeweight="6pt">
                <v:textbox>
                  <w:txbxContent>
                    <w:p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0070C0"/>
        </w:rPr>
        <w:t xml:space="preserve">     </w:t>
      </w:r>
      <w:r>
        <w:rPr>
          <w:b/>
          <w:color w:val="0070C0"/>
        </w:rPr>
        <w:t xml:space="preserve">                        </w:t>
      </w:r>
      <w:r>
        <w:rPr>
          <w:b/>
          <w:color w:val="0070C0"/>
          <w:sz w:val="52"/>
          <w:szCs w:val="52"/>
        </w:rPr>
        <w:t>2021 Forest County Bigfoot Hunting Regulations</w:t>
      </w:r>
    </w:p>
    <w:p>
      <w:pPr>
        <w:spacing w:after="0"/>
        <w:ind w:left="0"/>
        <w:rPr>
          <w:b/>
          <w:color w:val="0070C0"/>
          <w:sz w:val="52"/>
          <w:szCs w:val="52"/>
        </w:rPr>
      </w:pPr>
    </w:p>
    <w:p>
      <w:pPr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 All participants must purchase Bigfoot Hunting License to be eligible for any prizes awarded associated with </w:t>
      </w:r>
      <w:r>
        <w:rPr>
          <w:sz w:val="28"/>
          <w:szCs w:val="28"/>
        </w:rPr>
        <w:t>the       Big Foot Hunt.</w:t>
      </w:r>
    </w:p>
    <w:p>
      <w:pPr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2. Cost of Bigfoot Hunting License</w:t>
      </w:r>
      <w:r>
        <w:rPr>
          <w:sz w:val="28"/>
          <w:szCs w:val="28"/>
        </w:rPr>
        <w:t xml:space="preserve"> is </w:t>
      </w:r>
      <w:r>
        <w:rPr>
          <w:sz w:val="28"/>
          <w:szCs w:val="28"/>
        </w:rPr>
        <w:t>$10.00</w:t>
      </w:r>
      <w:r>
        <w:rPr>
          <w:sz w:val="28"/>
          <w:szCs w:val="28"/>
        </w:rPr>
        <w:t>. Licenses can be purchased during the event only.</w:t>
      </w:r>
    </w:p>
    <w:p>
      <w:pPr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A Hunting license</w:t>
      </w:r>
      <w:r>
        <w:rPr>
          <w:sz w:val="28"/>
          <w:szCs w:val="28"/>
        </w:rPr>
        <w:t xml:space="preserve"> is only good for the assigned hunter and is not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transferable.</w:t>
      </w:r>
    </w:p>
    <w:p>
      <w:pPr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4. Your Bigfoot Hunt begins upon the purchase of your license. </w:t>
      </w:r>
    </w:p>
    <w:p>
      <w:pPr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5. Hunting from vehicle is permitted as well as use of lights for night hunting.</w:t>
      </w:r>
    </w:p>
    <w:p>
      <w:pPr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6. Use of any type of firearm is prohibited and is cause fo</w:t>
      </w:r>
      <w:r>
        <w:rPr>
          <w:sz w:val="28"/>
          <w:szCs w:val="28"/>
        </w:rPr>
        <w:t>r</w:t>
      </w:r>
      <w:r>
        <w:rPr>
          <w:sz w:val="28"/>
          <w:szCs w:val="28"/>
        </w:rPr>
        <w:t xml:space="preserve"> disqualification from the hunt.</w:t>
      </w:r>
    </w:p>
    <w:p>
      <w:pPr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7. A find is recorded with your cell phone camera.</w:t>
      </w:r>
    </w:p>
    <w:p>
      <w:pPr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8. There are 10 Bigfoot silhouettes place</w:t>
      </w:r>
      <w:r>
        <w:rPr>
          <w:sz w:val="28"/>
          <w:szCs w:val="28"/>
        </w:rPr>
        <w:t>d</w:t>
      </w:r>
      <w:r>
        <w:rPr>
          <w:sz w:val="28"/>
          <w:szCs w:val="28"/>
        </w:rPr>
        <w:t xml:space="preserve"> in various location</w:t>
      </w:r>
      <w:r>
        <w:rPr>
          <w:sz w:val="28"/>
          <w:szCs w:val="28"/>
        </w:rPr>
        <w:t>s</w:t>
      </w:r>
      <w:r>
        <w:rPr>
          <w:sz w:val="28"/>
          <w:szCs w:val="28"/>
        </w:rPr>
        <w:t xml:space="preserve"> in the forest.</w:t>
      </w:r>
    </w:p>
    <w:p>
      <w:pPr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You must take a photo of each silhouette showing the unique number on each one.</w:t>
      </w:r>
    </w:p>
    <w:p>
      <w:pPr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9. You must return to the Forest County Business Alliance booth before 12 noon on Sunday June 13, 2021 </w:t>
      </w:r>
    </w:p>
    <w:p>
      <w:pPr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with your</w:t>
      </w:r>
      <w:r>
        <w:rPr>
          <w:sz w:val="28"/>
          <w:szCs w:val="28"/>
        </w:rPr>
        <w:t xml:space="preserve"> photos of Bigfoot</w:t>
      </w:r>
      <w:r>
        <w:rPr>
          <w:sz w:val="28"/>
          <w:szCs w:val="28"/>
        </w:rPr>
        <w:t xml:space="preserve"> to be eligible for a prize. </w:t>
      </w:r>
      <w:r>
        <w:rPr>
          <w:sz w:val="28"/>
          <w:szCs w:val="28"/>
        </w:rPr>
        <w:t xml:space="preserve"> Check in before presenting photographs.</w:t>
      </w:r>
    </w:p>
    <w:p>
      <w:pPr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10. Determination of the winner will be the hunter that find all of the silhouettes in the shortest amount of</w:t>
      </w:r>
      <w:r>
        <w:rPr>
          <w:sz w:val="28"/>
          <w:szCs w:val="28"/>
        </w:rPr>
        <w:t xml:space="preserve"> time.     11. In the </w:t>
      </w:r>
      <w:r>
        <w:rPr>
          <w:sz w:val="28"/>
          <w:szCs w:val="28"/>
        </w:rPr>
        <w:t xml:space="preserve">event no hunter finds all of the silhouettes, the hunter that has found the most will be declared the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winner.</w:t>
      </w:r>
    </w:p>
    <w:p>
      <w:pPr>
        <w:spacing w:line="480" w:lineRule="auto"/>
        <w:rPr>
          <w:sz w:val="28"/>
          <w:szCs w:val="28"/>
        </w:rPr>
      </w:pP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D56D5-6008-400E-B8B1-C77F7C02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40" w:lineRule="auto"/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Leonberg</dc:creator>
  <cp:keywords/>
  <dc:description/>
  <cp:lastModifiedBy>Suzanne Leonberg</cp:lastModifiedBy>
  <cp:revision>1</cp:revision>
  <dcterms:created xsi:type="dcterms:W3CDTF">2021-05-13T23:12:00Z</dcterms:created>
  <dcterms:modified xsi:type="dcterms:W3CDTF">2021-05-13T23:24:00Z</dcterms:modified>
</cp:coreProperties>
</file>